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KonstPrV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Abschluß Geprüfter Konstrukteur/Geprüfte Konstrukteurin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Wird die zu prüfende Person nach § 56 Absatz 2 des Berufsbildungsgesetzes oder nach § 42c Absatz 2 Handwerksordnung von der Ablegung einzelner Prüfungsbestandteile befreit, bleiben diese Prüfungsbestandteile für die Anwendung der §§ 7 und 8 außer Betracht. Für die übrigen Prüfungsbestandteile erhöhen sich die Anteile nach § 7 Absatz 2 Satz 2 oder Absatz 3 Satz 2 oder § 8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KonstPrV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https://recht.nulegal.eu/gesetze/KonstPrV/6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