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KonstPrV — Gliederung und Inhalt der Prüfung</w:t>
      </w:r>
    </w:p>
    <w:p>
      <w:r>
        <w:rPr>
          <w:color w:val="555555"/>
          <w:sz w:val="18"/>
        </w:rPr>
        <w:t xml:space="preserve">Verordnung über die Prüfung zum anerkannten Abschluß Geprüfter Konstrukteur/Geprüfte Konstrukteurin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 gliedert sich in</w:t>
      </w:r>
    </w:p>
    <w:p>
      <w:pPr>
        <w:ind w:left="420"/>
      </w:pPr>
      <w:r>
        <w:t xml:space="preserve">1. einen fachrichtungsübergreifenden Teil und</w:t>
      </w:r>
    </w:p>
    <w:p>
      <w:pPr>
        <w:ind w:left="420"/>
      </w:pPr>
      <w:r>
        <w:t xml:space="preserve">2. einen fachrichtungsspezifischen Teil.</w:t>
      </w:r>
    </w:p>
    <w:p>
      <w:r>
        <w:t xml:space="preserve">(2) Die Prüfung nach Absatz 1 Nr. 1 ist unbeschadet des § 6 schriftlich und mündlich nach Maßgabe des § 4 durchzuführen. Die Prüfung nach Absatz 1 Nr. 2 wird in Form einer praxisorientierten Konstruktionsaufgabe und danach in einem Fachgespräch durchgeführt.</w:t>
      </w:r>
    </w:p>
    <w:p>
      <w:r>
        <w:t xml:space="preserve">(3) Die einzelnen Prüfungsteile können an verschiedenen Prüfungsterminen geprüft werden; dabei ist mit dem letzten Prüfungsteil spätestens zwei Jahre nach dem ersten Prüfungstag des ersten Prüfungsteils zu beginnen.</w:t>
      </w:r>
    </w:p>
    <w:p>
      <w:r>
        <w:rPr>
          <w:color w:val="555555"/>
          <w:sz w:val="17"/>
        </w:rPr>
        <w:t xml:space="preserve">Zitiervorschlag: § 3 KonstPrV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https://recht.nulegal.eu/gesetze/KonstPrV/3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