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KonstPrV — Zulassungsvoraussetzungen</w:t>
      </w:r>
    </w:p>
    <w:p>
      <w:r>
        <w:rPr>
          <w:color w:val="555555"/>
          <w:sz w:val="18"/>
        </w:rPr>
        <w:t xml:space="preserve">Verordnung über die Prüfung zum anerkannten Abschluß Geprüfter Konstrukteur/Geprüfte Konstrukteurin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Abschlußprüfung zum Technischen Zeichner/zur Technischen Zeichnerin oder in einem anerkannten Ausbildungsberuf, der den Metall-, Elektro- oder Holzberufen zuzuordnen ist, und danach eine mindestens dreijährige einschlägige Berufspraxis oder</w:t>
      </w:r>
    </w:p>
    <w:p>
      <w:pPr>
        <w:ind w:left="420"/>
      </w:pPr>
      <w:r>
        <w:t xml:space="preserve">2. eine mindestens siebenjährige Berufspraxis im Konstruktionsbereich oder in einem Metall-, Elektro- oder Holzberuf</w:t>
      </w:r>
    </w:p>
    <w:p>
      <w:r>
        <w:t xml:space="preserve">nachweist. Bei der in Satz 1 genannten Berufspraxis muß mindestens ein Jahr in Tätigkeiten abgeleistet sein, die der beruflichen Fortbildung zum Konstrukteur dienlich sind. Insbesondere sind das Tätigkeiten, bei denen nach technischen Unterlagen gearbeitet wird.</w:t>
      </w:r>
    </w:p>
    <w:p>
      <w:r>
        <w:t xml:space="preserve">(2) Abweichend von Absatz 1 kann zur 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KonstPrV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