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KonsVerUSAV — Besteuerung des Gehalts bestimmter Ortskräfte konsularischer Vertretungen</w:t>
      </w:r>
    </w:p>
    <w:p>
      <w:r>
        <w:rPr>
          <w:color w:val="555555"/>
          <w:sz w:val="18"/>
        </w:rPr>
        <w:t xml:space="preserve">Deutsch-Amerikanische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einheitliche Anwendung und Auslegung des Artikels 19 Absatz 1 Buchstabe b des Abkommens auf Grund einer entsprechenden Konsultationsvereinbarung zwischen den zuständigen Behörden im Sinn des Artikels 3 Absatz 1 Buchstabe i des Abkommens richtet sich nach den Absätzen 2 und 3.</w:t>
      </w:r>
    </w:p>
    <w:p>
      <w:r>
        <w:t xml:space="preserve">(2) Ortskräfte im Sinn dieser Vorschrift sind Konsularbedienstete der Vereinigten Staaten von Amerika und der Bundesrepublik Deutschland, die Staatsangehörige des Entsendestaates sind, aber im Empfangsstaat im Sinn des Artikels 4 des Abkommens ansässig sind, und die nicht in den Geltungsbereich des Wiener Übereinkommens über konsularische Beziehungen vom 24. April 1963 (BGBl. 1969 II S. 1587) fallen.</w:t>
      </w:r>
    </w:p>
    <w:p>
      <w:r>
        <w:t xml:space="preserve">(3) Für die Besteuerung des Gehalts der Ortskräfte gilt Artikel XIX des Freundschafts-, Handels- und Konsularvertrages zwischen dem Deutschen Reich und den Vereinigten Staaten von Amerika in der im Bundesgesetzblatt Teil III, Gliederungsnummer 27-4, veröffentlichten bereinigten Fassung; Artikel 19 Absatz 1 Buchstabe b des Abkommens ist nicht anzuwenden.</w:t>
      </w:r>
    </w:p>
    <w:p>
      <w:r>
        <w:rPr>
          <w:color w:val="555555"/>
          <w:sz w:val="17"/>
        </w:rPr>
        <w:t xml:space="preserve">Zitiervorschlag: § 2 KonsVerUSAV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https://recht.nulegal.eu/gesetze/KonsVerUSAV/2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