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KonsVerRUSV</w:t>
      </w:r>
    </w:p>
    <w:p>
      <w:r>
        <w:rPr>
          <w:color w:val="555555"/>
          <w:sz w:val="18"/>
        </w:rPr>
        <w:t xml:space="preserve">Verordnung zur Umsetzung der Konsultationsvereinbarung zwischen der Bundesrepublik Deutschland und der Russischen Föderation vom 3. März 2021</w:t>
      </w:r>
    </w:p>
    <w:p>
      <w:r>
        <w:rPr>
          <w:color w:val="555555"/>
          <w:sz w:val="18"/>
        </w:rPr>
        <w:t xml:space="preserve">Stand: 05.10.2021 (konsolidierte Textfassung, kein amtliches Inkrafttretensdatum)</w:t>
      </w:r>
    </w:p>
    <w:p>
      <w:r>
        <w:t xml:space="preserve">Auf Grund des § 2 Absatz 3 Nummer 2 der Abgabenordnung in der Fassung des Artikels 2 Nummer 1 des Gesetzes vom 20. Dezember 2016 (BGBl. I S. 3000) verordnet das Bundesministerium der Finanzen:</w:t>
      </w:r>
    </w:p>
    <w:p>
      <w:r>
        <w:rPr>
          <w:color w:val="555555"/>
          <w:sz w:val="17"/>
        </w:rPr>
        <w:t xml:space="preserve">Zitiervorschlag: Eingangsformel KonsVerRUSV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https://recht.nulegal.eu/gesetze/KonsVerRUSV/eingangsformel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