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KonsVerRUSV — Anwendungsregelung</w:t>
      </w:r>
    </w:p>
    <w:p>
      <w:r>
        <w:rPr>
          <w:color w:val="555555"/>
          <w:sz w:val="18"/>
        </w:rPr>
        <w:t xml:space="preserve">Verordnung zur Umsetzung der Konsultationsvereinbarung zwischen der Bundesrepublik Deutschland und der Russischen Föderation vom 3. März 2021</w:t>
      </w:r>
    </w:p>
    <w:p>
      <w:r>
        <w:rPr>
          <w:color w:val="555555"/>
          <w:sz w:val="18"/>
        </w:rPr>
        <w:t xml:space="preserve">Stand: 05.10.2021 (konsolidierte Textfassung, kein amtliches Inkrafttretensdatum)</w:t>
      </w:r>
    </w:p>
    <w:p>
      <w:r>
        <w:t xml:space="preserve">Diese Verordnung ist erstmals auf Besteuerungssachverhalte ab dem 1. Januar 2021 anzuwenden.</w:t>
      </w:r>
    </w:p>
    <w:p>
      <w:r>
        <w:rPr>
          <w:color w:val="555555"/>
          <w:sz w:val="17"/>
        </w:rPr>
        <w:t xml:space="preserve">Zitiervorschlag: § 3 KonsVerRUSV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https://recht.nulegal.eu/gesetze/KonsVerRUSV/3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