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KonsVerNLDV — Anwendungsregelung</w:t>
      </w:r>
    </w:p>
    <w:p>
      <w:r>
        <w:rPr>
          <w:color w:val="555555"/>
          <w:sz w:val="18"/>
        </w:rPr>
        <w:t xml:space="preserve">Deutsch-Niederländische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Diese Verordnung ist erstmals auf Besteuerungssachverhalte seit dem 1. Januar 2010 anzuwenden.</w:t>
      </w:r>
    </w:p>
    <w:p>
      <w:r>
        <w:rPr>
          <w:color w:val="555555"/>
          <w:sz w:val="17"/>
        </w:rPr>
        <w:t xml:space="preserve">Zitiervorschlag: § 8 KonsVerNLDV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https://recht.nulegal.eu/gesetze/KonsVerNLDV/8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