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KonsVerNLDV — Anwendungsbereich</w:t>
      </w:r>
    </w:p>
    <w:p>
      <w:r>
        <w:rPr>
          <w:color w:val="555555"/>
          <w:sz w:val="18"/>
        </w:rPr>
        <w:t xml:space="preserve">Deutsch-Niederländische Konsultationsvereinbarungsverordnung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Die einheitliche Anwendung und Auslegung des Abkommens in Bezug auf die Umsetzung entsprechender Konsultationsvereinbarungen im Sinn des § 2 Absatz 2 Satz 2 der Abgabenordnung, die von den obersten Finanzbehörden im Sinn des Artikels 2 Absatz 1 Nummer 3 des Abkommens getroffen worden sind, richtet sich nach dieser Verordnung.</w:t>
      </w:r>
    </w:p>
    <w:p>
      <w:r>
        <w:rPr>
          <w:color w:val="555555"/>
          <w:sz w:val="17"/>
        </w:rPr>
        <w:t xml:space="preserve">Zitiervorschlag: § 2 KonsVerNLDV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https://recht.nulegal.eu/gesetze/KonsVerNLDV/2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