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KonsVerLUXV — Tätigkeit in mehreren Staaten</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Arbeitsentgelt, das auf Arbeitstage entfällt, an denen der Berufskraftfahrer, der Lokomotivführer oder das Begleitpersonal seine Tätigkeit ausschließlich</w:t>
      </w:r>
    </w:p>
    <w:p>
      <w:pPr>
        <w:ind w:left="420"/>
      </w:pPr>
      <w:r>
        <w:t xml:space="preserve">1. in einem oder mehreren Drittstaaten ausgeübt hat oder</w:t>
      </w:r>
    </w:p>
    <w:p>
      <w:pPr>
        <w:ind w:left="420"/>
      </w:pPr>
      <w:r>
        <w:t xml:space="preserve">2. in einem oder mehreren Drittstaaten und in seinem Ansässigkeitsstaat ausgeübt hat,</w:t>
      </w:r>
    </w:p>
    <w:p>
      <w:r>
        <w:t xml:space="preserve">wird im Ansässigkeitsstaat des Berufskraftfahrers, des Lokomotivführers oder des Begleitpersonals besteuert.</w:t>
      </w:r>
    </w:p>
    <w:p>
      <w:r>
        <w:t xml:space="preserve">(2) Arbeitsentgelt, das auf Arbeitstage entfällt, an denen der Berufskraftfahrer, der Lokomotivführer oder das Begleitpersonal seine Tätigkeit teilweise in dem Vertragsstaat ausgeübt hat, in dem der Arbeitgeber des Berufskraftfahrers, des Lokomotivführers oder des Begleitpersonals seinen Wohnsitz hat, und teilweise</w:t>
      </w:r>
    </w:p>
    <w:p>
      <w:pPr>
        <w:ind w:left="420"/>
      </w:pPr>
      <w:r>
        <w:t xml:space="preserve">1. im Ansässigkeitsstaat des Berufskraftfahrers, des Lokomotivführers oder des Begleitpersonals,</w:t>
      </w:r>
    </w:p>
    <w:p>
      <w:pPr>
        <w:ind w:left="420"/>
      </w:pPr>
      <w:r>
        <w:t xml:space="preserve">2. in einem oder mehreren Drittstaaten oder</w:t>
      </w:r>
    </w:p>
    <w:p>
      <w:pPr>
        <w:ind w:left="420"/>
      </w:pPr>
      <w:r>
        <w:t xml:space="preserve">3. im Ansässigkeitsstaat des Berufskraftfahrers, des Lokomotivführers oder des Begleitpersonals sowie in einem oder mehreren Drittstaaten</w:t>
      </w:r>
    </w:p>
    <w:p>
      <w:r>
        <w:t xml:space="preserve">wird, unabhängig von der jeweiligen Verweildauer, zu gleichen Teilen auf den Ansässigkeitsstaat des Berufskraftfahrers, des Lokomotivführers oder des Begleitpersonals, auf den Wohnsitzstaat des Arbeitgebers des Berufskraftfahrers, des Lokomotivführers oder des Begleitpersonals und auf den oder die Drittstaaten nach den Nummern 2 und 3 aufgeteilt. Das anteilige Besteuerungsrecht wird gemäß § 6 und § 7 Absatz 1 den Vertragsstaaten zugewiesen.</w:t>
      </w:r>
    </w:p>
    <w:p>
      <w:r>
        <w:rPr>
          <w:color w:val="555555"/>
          <w:sz w:val="17"/>
        </w:rPr>
        <w:t xml:space="preserve">Zitiervorschlag: § 7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