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KonsVerLUXV — Tätigkeit in einem Staat</w:t>
      </w:r>
    </w:p>
    <w:p>
      <w:r>
        <w:rPr>
          <w:color w:val="555555"/>
          <w:sz w:val="18"/>
        </w:rPr>
        <w:t xml:space="preserve">Deutsch-Luxemburgische Konsultationsvereinbarungsverordnung</w:t>
      </w:r>
    </w:p>
    <w:p>
      <w:r>
        <w:rPr>
          <w:color w:val="555555"/>
          <w:sz w:val="18"/>
        </w:rPr>
        <w:t xml:space="preserve">Historische Fassung: Stand 10.06.2019 bis 14.03.2026. Dies ist nicht die aktuelle Fassung.</w:t>
      </w:r>
    </w:p>
    <w:p>
      <w:r>
        <w:t xml:space="preserve">(1) Arbeitsentgelt, das auf Arbeitstage entfällt, an denen der Berufskraftfahrer, der Lokomotivführer oder das Begleitpersonal seine Tätigkeit ausschließlich in seinem Ansässigkeitsstaat ausgeübt hat, wird in diesem Staat besteuert.</w:t>
      </w:r>
    </w:p>
    <w:p>
      <w:r>
        <w:t xml:space="preserve">(2) Arbeitsentgelt, das auf Arbeitstage entfällt, an denen der Berufskraftfahrer, der Lokomotivführer oder das Begleitpersonal seine Tätigkeit ausschließlich in dem Vertragsstaat ausgeübt hat, in dem der Arbeitgeber des Berufskraftfahrers, des Lokomotivführers oder des Begleitpersonals seinen Wohnsitz hat, wird in diesem Staat besteuert.</w:t>
      </w:r>
    </w:p>
    <w:p>
      <w:r>
        <w:rPr>
          <w:color w:val="555555"/>
          <w:sz w:val="17"/>
        </w:rPr>
        <w:t xml:space="preserve">Zitiervorschlag: § 6 KonsVerLUXV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https://recht.nulegal.eu/gesetze/KonsVerLUXV/6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