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KonsVerLUXV — Anwendungsbereich</w:t>
      </w:r>
    </w:p>
    <w:p>
      <w:r>
        <w:rPr>
          <w:color w:val="555555"/>
          <w:sz w:val="18"/>
        </w:rPr>
        <w:t xml:space="preserve">Deutsch-Luxemburgische Konsultationsvereinbarungsverordnung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 einheitliche Anwendung und Auslegung des Abkommens hinsichtlich der Besteuerung von</w:t>
      </w:r>
    </w:p>
    <w:p>
      <w:pPr>
        <w:ind w:left="420"/>
      </w:pPr>
      <w:r>
        <w:t xml:space="preserve">1. Arbeitsentgelt bei Grenzpendlern,</w:t>
      </w:r>
    </w:p>
    <w:p>
      <w:pPr>
        <w:ind w:left="420"/>
      </w:pPr>
      <w:r>
        <w:t xml:space="preserve">2. Abfindungen und Entschädigungen an Arbeitnehmer, Arbeitslosengeld sowie</w:t>
      </w:r>
    </w:p>
    <w:p>
      <w:pPr>
        <w:ind w:left="420"/>
      </w:pPr>
      <w:r>
        <w:t xml:space="preserve">3. Arbeitsentgelt von Berufskraftfahrern, Lokomotivführern und Begleitpersonal</w:t>
      </w:r>
    </w:p>
    <w:p>
      <w:r>
        <w:t xml:space="preserve">auf der Grundlage entsprechender Konsultationsvereinbarungen im Sinn des § 2 Absatz 2 Satz 2 der Abgabenordnung, die zwischen den zuständigen Behörden im Sinn des Artikels 2 Absatz 1 Nummer 3 des Abkommens getroffen worden sind, richtet sich nach dieser Verordnung.</w:t>
      </w:r>
    </w:p>
    <w:p>
      <w:r>
        <w:rPr>
          <w:color w:val="555555"/>
          <w:sz w:val="17"/>
        </w:rPr>
        <w:t xml:space="preserve">Zitiervorschlag: § 2 KonsVerLUXV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https://recht.nulegal.eu/gesetze/KonsVerLUXV/2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