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KonsVerLUXV — Anwendungszeitpunkt</w:t>
      </w:r>
    </w:p>
    <w:p>
      <w:r>
        <w:rPr>
          <w:color w:val="555555"/>
          <w:sz w:val="18"/>
        </w:rPr>
        <w:t xml:space="preserve">Deutsch-Luxemburgische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Diese Verordnung ist erstmals anzuwenden</w:t>
      </w:r>
    </w:p>
    <w:p>
      <w:pPr>
        <w:ind w:left="420"/>
      </w:pPr>
      <w:r>
        <w:t xml:space="preserve">1. in den Fällen der §§ 3 bis 5 auf Besteuerungssachverhalte seit dem 11. Juli 2011,</w:t>
      </w:r>
    </w:p>
    <w:p>
      <w:pPr>
        <w:ind w:left="420"/>
      </w:pPr>
      <w:r>
        <w:t xml:space="preserve">2. in allen anderen Fällen auf Besteuerungssachverhalte seit dem 17. Oktober 2011.</w:t>
      </w:r>
    </w:p>
    <w:p>
      <w:r>
        <w:rPr>
          <w:color w:val="555555"/>
          <w:sz w:val="17"/>
        </w:rPr>
        <w:t xml:space="preserve">Zitiervorschlag: § 11 KonsVerLUXV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https://recht.nulegal.eu/gesetze/KonsVerLUXV/11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