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KonsVerGBRV — Inkrafttreten</w:t>
      </w:r>
    </w:p>
    <w:p>
      <w:r>
        <w:rPr>
          <w:color w:val="555555"/>
          <w:sz w:val="18"/>
        </w:rPr>
        <w:t xml:space="preserve">Deutsch-Britische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KonsVerGBRV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https://recht.nulegal.eu/gesetze/KonsVerGBRV/4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KonsVerGBRV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