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KonsVerFRAV — Grenzgängerregelung</w:t>
      </w:r>
    </w:p>
    <w:p>
      <w:r>
        <w:rPr>
          <w:color w:val="555555"/>
          <w:sz w:val="18"/>
        </w:rPr>
        <w:t xml:space="preserve">Deutsch-Französische Konsultationsvereinbarungsverordnung</w:t>
      </w:r>
    </w:p>
    <w:p>
      <w:r>
        <w:rPr>
          <w:color w:val="555555"/>
          <w:sz w:val="18"/>
        </w:rPr>
        <w:t xml:space="preserve">Stand: 10.06.2019 (konsolidierte Textfassung, kein amtliches Inkrafttretensdatum)</w:t>
      </w:r>
    </w:p>
    <w:p>
      <w:r>
        <w:t xml:space="preserve">(1) Kehrt ein Arbeitnehmer nicht täglich an seinen Wohnsitz zurück oder ist er an ganzen Arbeitstagen an Arbeitsorten außerhalb der Grenzzone beschäftigt, so geht die Grenzgängereigenschaft nicht verloren, sofern</w:t>
      </w:r>
    </w:p>
    <w:p>
      <w:pPr>
        <w:ind w:left="420"/>
      </w:pPr>
      <w:r>
        <w:t xml:space="preserve">1. der Arbeitnehmer während des ganzen Kalenderjahres in der Grenzzone beschäftigt ist und in dieser Zeit höchstens an 45 Arbeitstagen nicht zum Wohnsitz zurückkehrt oder außerhalb der Grenzzone für seinen Arbeitgeber tätig ist, oder</w:t>
      </w:r>
    </w:p>
    <w:p>
      <w:pPr>
        <w:ind w:left="420"/>
      </w:pPr>
      <w:r>
        <w:t xml:space="preserve">2. falls der Arbeitnehmer nicht während des ganzen Kalenderjahres in der Grenzzone beschäftigt ist, die Tage der Nichtrückkehr oder der Tätigkeit außerhalb der Grenzzone 20 Prozent der gesamten Arbeitstage im Rahmen des Arbeitsverhältnisses oder der Arbeitsverhältnisse nicht übersteigen, jedoch in keinem Fall mehr als 45 Tage betragen.</w:t>
      </w:r>
    </w:p>
    <w:p>
      <w:r>
        <w:t xml:space="preserve">(2) Tätigkeiten in der Grenzzone des Ansässigkeitsstaates des Arbeitnehmers gelten als innerhalb der Grenzzone ausgeübt.</w:t>
      </w:r>
    </w:p>
    <w:p>
      <w:r>
        <w:t xml:space="preserve">(3) Als Arbeitstage gelten die vertraglich vereinbarten Arbeitstage, das heißt alle Kalendertage abzüglich der Tage, an denen der Arbeitnehmer laut Arbeitsvertrag nicht zu arbeiten verpflichtet ist, wie zum Beispiel Urlaubstage, Wochenendtage, gesetzliche Feiertage sowie alle weiteren Tage, an denen der Arbeitnehmer seine Tätigkeit ausübt. Daneben gelten auch Krankheitstage nicht als Tage der Nichtrückkehr.</w:t>
      </w:r>
    </w:p>
    <w:p>
      <w:r>
        <w:t xml:space="preserve">(4) Ein Nichtrückkehrtag ist nicht schon deshalb anzunehmen, weil sich die Arbeitszeit des Arbeitnehmers bedingt durch die Anfangszeiten oder durch die Dauer der Arbeitszeit über mehr als einen Kalendertag erstreckt, wie dies bei Schichtarbeitern oder Personal mit Nachtdiensten der Fall ist.</w:t>
      </w:r>
    </w:p>
    <w:p>
      <w:r>
        <w:t xml:space="preserve">(5) Bei mehrtägigen Dienstreisen gelten die Tage der Hinreise sowie der Rückreise stets zu den Nichtrückkehrtagen.</w:t>
      </w:r>
    </w:p>
    <w:p>
      <w:r>
        <w:t xml:space="preserve">(6) Für die Zwecke dieser Verordnung bezeichnet der Begriff „Arbeitgeber“ den wirtschaftlichen Arbeitgeber.</w:t>
      </w:r>
    </w:p>
    <w:p>
      <w:r>
        <w:rPr>
          <w:color w:val="555555"/>
          <w:sz w:val="17"/>
        </w:rPr>
        <w:t xml:space="preserve">Zitiervorschlag: § 7 KonsVerFRAV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https://recht.nulegal.eu/gesetze/KonsVerFRAV/7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