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KonsVerFRAV — Fristberechnung</w:t>
      </w:r>
    </w:p>
    <w:p>
      <w:r>
        <w:rPr>
          <w:color w:val="555555"/>
          <w:sz w:val="18"/>
        </w:rPr>
        <w:t xml:space="preserve">Deutsch-Französische Konsultationsvereinbarungsverordnung</w:t>
      </w:r>
    </w:p>
    <w:p>
      <w:r>
        <w:rPr>
          <w:color w:val="555555"/>
          <w:sz w:val="18"/>
        </w:rPr>
        <w:t xml:space="preserve">Stand: 10.06.2019 (konsolidierte Textfassung, kein amtliches Inkrafttretensdatum)</w:t>
      </w:r>
    </w:p>
    <w:p>
      <w:r>
        <w:t xml:space="preserve">Bei der Berechnung der Aufenthaltsdauer für die Zwecke des Artikels 13 Absatz 4 Nummer 1 des Abkommens werden Sonn- und Feiertage, Urlaubs- und Krankheitstage und kurze Unterbrechungen im Zusammenhang mit Reisen in den Heimatstaat oder in dritte Länder als Tage des Aufenthalts im Beschäftigungsland mitgezählt, soweit sie im Rahmen bestehender Arbeitsverhältnisse anfallen und unter Berücksichtigung der Umstände, unter denen sie stattfinden, nicht als Beendigung des vorübergehenden Aufenthalts angesehen werden.</w:t>
      </w:r>
    </w:p>
    <w:p>
      <w:r>
        <w:rPr>
          <w:color w:val="555555"/>
          <w:sz w:val="17"/>
        </w:rPr>
        <w:t xml:space="preserve">Zitiervorschlag: § 6 KonsVerFRAV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https://recht.nulegal.eu/gesetze/KonsVerFRAV/6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