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KonsVerCHEV — Ansässigkeitsbescheinigung</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Der Antrag auf Erteilung einer Ansässigkeitsbescheinigung ist vom Grenzgänger persönlich zu unterschreiben.</w:t>
      </w:r>
    </w:p>
    <w:p>
      <w:r>
        <w:t xml:space="preserve">(2) Die Ansässigkeitsbescheinigung gilt jeweils für ein Kalenderjahr, bei Beschäftigungsaufnahme während des Jahres bis zum Ablauf des jeweiligen Kalenderjahrs. Die Bescheinigung für das jeweilige Folgejahr wird dem Grenzgänger ohne Antrag von der zuständigen Steuerbehörde erteilt. Bei Arbeitgeberwechsel ist eine neue Bescheinigung zu beantragen. Der Ansässigkeitsstaat kann die Erteilung der Ansässigkeitsbescheinigung nur dann verweigern, wenn die Person die Voraussetzungen des Artikels 15a des Abkommens nicht erfüllt.</w:t>
      </w:r>
    </w:p>
    <w:p>
      <w:r>
        <w:rPr>
          <w:color w:val="555555"/>
          <w:sz w:val="17"/>
        </w:rPr>
        <w:t xml:space="preserve">Zitiervorschlag: § 5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