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KonsVerCHEV — Schenkungen von Geschäftsbetrieben</w:t>
      </w:r>
    </w:p>
    <w:p>
      <w:r>
        <w:rPr>
          <w:color w:val="555555"/>
          <w:sz w:val="18"/>
        </w:rPr>
        <w:t xml:space="preserve">Deutsch-Schweizerische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Erbschaftsfälle geltenden Regelungen des Erbschaftsteuerabkommens (§ 1 Absatz 2) sind auch für Schenkungen von Geschäftsbetrieben entsprechend anzuwenden.</w:t>
      </w:r>
    </w:p>
    <w:p>
      <w:r>
        <w:rPr>
          <w:color w:val="555555"/>
          <w:sz w:val="17"/>
        </w:rPr>
        <w:t xml:space="preserve">Zitiervorschlag: § 3 KonsVerCHEV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https://recht.nulegal.eu/gesetze/KonsVerCHEV/3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