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KonsVerCHEV — Arbeitnehmer-Abfindungen</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Ist einer Abfindung Versorgungscharakter beizumessen, steht das Besteuerungsrecht entsprechend Artikel 18 des Abkommens dem Wohnsitzstaat zu. Dagegen hat der (frühere) Tätigkeitsstaat das Besteuerungsrecht, sofern es sich bei der Abfindung um Lohn- oder Gehaltsnachzahlungen oder Tantiemen aus dem früheren Arbeitsverhältnis handelt oder die Abfindung allgemein für das vorzeitige Ausscheiden aus dem Dienst gewährt wird. Für den Fall, dass der Arbeitnehmer in der Zeit vor dem Ausscheiden aus dem Dienst auch teils in dem Staat, in dem er ansässig ist, tätig war, ist die Abfindung zeitanteilig entsprechend der Besteuerungszuordnung der Vergütungen aufzuteilen.</w:t>
      </w:r>
    </w:p>
    <w:p>
      <w:r>
        <w:t xml:space="preserve">(2) Werden die Abfindungszahlungen aus Anlass der Auflösung des Arbeitsverhältnisses, die eine in einem Vertragsstaat wohnende Person nach Wegzug aus dem Tätigkeitsstaat von ihrem ehemaligen, im anderen Vertragsstaat ansässigen Arbeitgeber erhält, nicht im ehemaligen Tätigkeitsstaat besteuert, können diese Abfindungszahlungen im Wohnsitzstaat der Person besteuert werden.</w:t>
      </w:r>
    </w:p>
    <w:p>
      <w:r>
        <w:rPr>
          <w:color w:val="555555"/>
          <w:sz w:val="17"/>
        </w:rPr>
        <w:t xml:space="preserve">Zitiervorschlag: § 24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