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KonsVerCHEV — Abwanderer in die Schweiz (Artikel 4 Absatz 4 des Abkommens)</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Eine teilweise Freistellung von Abzugsteuern nach § 39b Absatz 6 des Einkommensteuergesetzes bei Arbeitslöhnen kommt bei Abwanderern so lange nicht in Betracht, wie Artikel 4 Absatz 4 des Abkommens anzuwenden ist.</w:t>
      </w:r>
    </w:p>
    <w:p>
      <w:r>
        <w:t xml:space="preserve">(2) Die Regelung des Artikels 4 Absatz 4 des Abkommens ist nicht anzuwenden, wenn der Wegzug in die Schweiz wegen Heirat mit einer Person schweizerischer Staatsangehörigkeit erfolgt.</w:t>
      </w:r>
    </w:p>
    <w:p>
      <w:r>
        <w:t xml:space="preserve">(3) Für die Anrechnung schweizerischer Steuern im Lohnsteuerabzugsverfahren gilt: In entsprechender Anwendung des § 39b Absatz 6 des Einkommensteuergesetzes rechnet der Arbeitgeber auf Grund einer Anrechnungsbescheinigung des Betriebstättenfinanzamts einen bestimmten Betrag als schweizerische Steuer vorläufig auf die 4,5 Prozent des Bruttobetrages der Vergütungen übersteigende deutsche Lohnsteuer an. Der Grenzgänger-Abwanderer hat die Anrechnungsbescheinigung beim Betriebstättenfinanzamt zu beantragen. Dem Antrag hat er seinen letzten schweizerischen Steuer- oder Vorauszahlungsbescheid beizufügen. Nach Ablauf des Kalenderjahrs wird zur endgültigen Anrechnung der schweizerischen Steuer auf Antrag des Grenzgänger-Abwanderers eine Veranlagung durchgeführt. Der Antrag auf Durchführung der Veranlagung ist gleichzeitig mit dem Antrag auf Erteilung der Anrechnungsbescheinigung zu stellen.</w:t>
      </w:r>
    </w:p>
    <w:p>
      <w:r>
        <w:rPr>
          <w:color w:val="555555"/>
          <w:sz w:val="17"/>
        </w:rPr>
        <w:t xml:space="preserve">Zitiervorschlag: § 18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