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KonsVerCHEV — Verschiedene Sonderfälle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Bei den unter Artikel 15 Absatz 3 des Abkommens fallenden Arbeitnehmern an Bord von Seeschiffen oder Luftfahrzeugen im internationalen Verkehr ist Artikel 15a des Abkommens nicht anzuwenden.</w:t>
      </w:r>
    </w:p>
    <w:p>
      <w:r>
        <w:t xml:space="preserve">(2) Der Steuerabzug für Künstler, Musiker, Sportler und Artisten im Sinn des Artikels 17 des Abkommens ist nicht nach § 39d des Einkommensteuergesetzes, sondern nach § 50a des Einkommensteuergesetzes durchzuführen. Er ist für den genannten Personenkreis auf 4,5 Prozent der Bruttovergütungen beschränkt. § 50d des Einkommensteuergesetzes bleibt unberührt.</w:t>
      </w:r>
    </w:p>
    <w:p>
      <w:r>
        <w:t xml:space="preserve">(3) Für Ruhegehälter von Grenzgängern aus öffentlichen Kassen ist der Steuerabzug nach Artikel 15a Absatz 1 auf 4,5 Prozent beschränkt, wenn eine weitere Ansässigkeitsbescheinigung vorliegt. Die vor Eintritt des Versorgungsfalls vorgelegte Ansässigkeitsbescheinigung gilt ohne zeitliche Beschränkung weiter, es sei denn, es findet ein Wohnungswechsel statt.</w:t>
      </w:r>
    </w:p>
    <w:p>
      <w:r>
        <w:rPr>
          <w:color w:val="555555"/>
          <w:sz w:val="17"/>
        </w:rPr>
        <w:t xml:space="preserve">Zitiervorschlag: § 17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