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KonsVerCHEV — Nachweis der Bruttovergütungen</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Für einen deutschen Grenzgänger hat der Lohnausweis (Bruttobetrag der Vergütungen) nach amtlichem Vordruck der schweizerischen Steuerverwaltung zu erfolgen, wobei Spesenvergütungen durch den Arbeitgeber gesondert aufzuführen sind.</w:t>
      </w:r>
    </w:p>
    <w:p>
      <w:r>
        <w:t xml:space="preserve">(2) Für einen schweizerischen Grenzgänger hat der deutsche Arbeitgeber bei Beendigung eines Dienstverhältnisses, spätestens am Ende des Kalenderjahrs auf Antrag des Grenzgängers eine besondere Lohnsteuerbescheinigung nach amtlichem Vordruck zu erteilen. Dabei ist abweichend von § 41b des Einkommensteuergesetzes eine Lohnsteuerbescheinigung auch für den pauschal besteuerten Arbeitslohn auszustellen; der pauschal besteuerte Arbeitslohn kann entweder gesondert oder in einer Summe mit dem übrigen Arbeitslohn bescheinigt werden. Zulässig ist auch die Bescheinigung des pauschal besteuerten Arbeitslohns in einer angefügten Erklärung; Entsprechendes gilt für den Ausweis der Lohnsteuer, die auf diesen Arbeitslohn entfällt. Zusätzlich hat der Arbeitgeber steuerfreie Entlassungsentschädigungen nach § 3 Nummer 9 des Einkommensteuergesetzes sowie steuerfreie Zuschläge für Sonntags-, Feiertags- oder Nachtarbeit nach § 3b des Einkommensteuergesetzes zu bescheinigen. Die Eintragungen sind im amtlichen Vordruck in einem freien Feld vorzunehmen und als solche kenntlich zu machen.</w:t>
      </w:r>
    </w:p>
    <w:p>
      <w:r>
        <w:rPr>
          <w:color w:val="555555"/>
          <w:sz w:val="17"/>
        </w:rPr>
        <w:t xml:space="preserve">Zitiervorschlag: § 16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