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KonsVerCHEV — Ansässigkeitsstaat Deutschland</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(1) Die Anrechnung von Abzugsteuer bei der Veranlagung erfolgt jedoch nur, wenn eine gesonderte Steuerbescheinigung oder ein Steuerausweis auf dem Lohnausweis über die einbehaltene Abzugsteuer vorgelegt wird. Dieser Nachweis ist auf Verlangen des Arbeitnehmers vom Arbeitgeber auszustellen. Ohne die Bescheinigung nach Satz 1 kann auch bei Schätzungsveranlagungen eine Abzugsteuer nicht berücksichtigt werden.</w:t>
      </w:r>
    </w:p>
    <w:p>
      <w:r>
        <w:t xml:space="preserve">(2) Behält der Arbeitgeber bei einem Grenzgänger Quellensteuer von mehr als 4,5 Prozent der Bruttovergütungen ein, erfolgt nur eine Anrechnung der Abzugsteuer in Höhe von 4,5 Prozent der Bruttovergütungen. Absatz 1 Satz 1 gilt entsprechend. Eine Erstattung zu viel einbehaltener schweizerischer Steuer ist in Deutschland nicht möglich.</w:t>
      </w:r>
    </w:p>
    <w:p>
      <w:r>
        <w:rPr>
          <w:color w:val="555555"/>
          <w:sz w:val="17"/>
        </w:rPr>
        <w:t xml:space="preserve">Zitiervorschlag: § 12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