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KonsVerBELV — Abfindungen an Arbeitnehmer</w:t>
      </w:r>
    </w:p>
    <w:p>
      <w:r>
        <w:rPr>
          <w:color w:val="555555"/>
          <w:sz w:val="18"/>
        </w:rPr>
        <w:t xml:space="preserve">Deutsch-Belgische Konsultationsvereinbarungsverordnung</w:t>
      </w:r>
    </w:p>
    <w:p>
      <w:r>
        <w:rPr>
          <w:color w:val="555555"/>
          <w:sz w:val="18"/>
        </w:rPr>
        <w:t xml:space="preserve">Stand: 10.06.2019 (konsolidierte Textfassung, kein amtliches Inkrafttretensdatum)</w:t>
      </w:r>
    </w:p>
    <w:p>
      <w:r>
        <w:t xml:space="preserve">(1) Die einheitliche Anwendung und Auslegung des Abkommens in Bezug auf die Zuordnung des Besteuerungsrechts bei Abfindungen an Arbeitnehmer auf Grund einer entsprechenden Konsultationsvereinbarung im Sinn des § 2 Absatz 2 Satz 2 der Abgabenordnung zwischen den zuständigen Behörden im Sinn des Artikels 3 Absatz 1 Nummer 6 des Abkommens richtet sich nach den Absätzen 2 bis 4.</w:t>
      </w:r>
    </w:p>
    <w:p>
      <w:r>
        <w:t xml:space="preserve">(2) Ist einer Abfindung Versorgungscharakter beizumessen, gilt Artikel 18 des Abkommens entsprechend.</w:t>
      </w:r>
    </w:p>
    <w:p>
      <w:r>
        <w:t xml:space="preserve">(3) Auf Abfindungen,</w:t>
      </w:r>
    </w:p>
    <w:p>
      <w:pPr>
        <w:ind w:left="420"/>
      </w:pPr>
      <w:r>
        <w:t xml:space="preserve">1. bei denen es sich um im Rahmen des eines Arbeitsvertrags geleistete Nachzahlungen von Löhnen, Gehältern oder anderen Vergütungen handelt, oder</w:t>
      </w:r>
    </w:p>
    <w:p>
      <w:pPr>
        <w:ind w:left="420"/>
      </w:pPr>
      <w:r>
        <w:t xml:space="preserve">2. die allgemein für die Auflösung des Arbeitsvertrags gewährt werden</w:t>
      </w:r>
    </w:p>
    <w:p>
      <w:r>
        <w:t xml:space="preserve">findet Artikel 15 Absatz 1 des Abkommens Anwendung. War der Arbeitnehmer in der Zeit vor der Auflösung des Arbeitsvertrags teils in dem Staat seiner Ansässigkeit oder im Hoheitsgebiet von Drittstaaten und teils in dem anderen Staat tätig, kann die Abfindung in diesem anderen Staat besteuert werden, jedoch nur anteilig entsprechend dem Teil der im Kalenderjahr vor Auflösung des Arbeitsvertrags bezogenen Vergütungen, der gemäß Artikel 15 Absatz 1 und 2 des Abkommens in diesem anderen Staat besteuert wurde.</w:t>
      </w:r>
    </w:p>
    <w:p>
      <w:r>
        <w:t xml:space="preserve">(4) Die Absätze 2 und 3 sind auf die in Artikel 15 Absatz 3 und Artikel 19 des Abkommens genannten Einkünfte nicht anzuwenden.</w:t>
      </w:r>
    </w:p>
    <w:p>
      <w:r>
        <w:rPr>
          <w:color w:val="555555"/>
          <w:sz w:val="17"/>
        </w:rPr>
        <w:t xml:space="preserve">Zitiervorschlag: § 2 KonsVerBELV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https://recht.nulegal.eu/gesetze/KonsVerBELV/2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