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KonsVerAUTV — Zahlungen für ein Konkurrenz- und Wettbewerbsverbot</w:t>
      </w:r>
    </w:p>
    <w:p>
      <w:r>
        <w:rPr>
          <w:color w:val="555555"/>
          <w:sz w:val="18"/>
        </w:rPr>
        <w:t xml:space="preserve">Deutsch-Österreichische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Zahlungen für ein Konkurrenz- und Wettbewerbsverbot nach Beendigung des Dienstverhältnisses unterliegen in dem Staat der Besteuerung, der auch für die Bezüge aus der aktiven Tätigkeit besteuerungsberechtigt war.</w:t>
      </w:r>
    </w:p>
    <w:p>
      <w:r>
        <w:rPr>
          <w:color w:val="555555"/>
          <w:sz w:val="17"/>
        </w:rPr>
        <w:t xml:space="preserve">Zitiervorschlag: § 5 KonsVerAUTV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https://recht.nulegal.eu/gesetze/KonsVerAUTV/5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