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KonsVerAUTV — Kausalitätsprinzip bei Arbeitnehmern</w:t>
      </w:r>
    </w:p>
    <w:p>
      <w:r>
        <w:rPr>
          <w:color w:val="555555"/>
          <w:sz w:val="18"/>
        </w:rPr>
        <w:t xml:space="preserve">Deutsch-Österreichische Konsultationsvereinbarungsverordnung</w:t>
      </w:r>
    </w:p>
    <w:p>
      <w:r>
        <w:rPr>
          <w:color w:val="555555"/>
          <w:sz w:val="18"/>
        </w:rPr>
        <w:t xml:space="preserve">Stand: 10.06.2019 (konsolidierte Textfassung, kein amtliches Inkrafttretensdatum)</w:t>
      </w:r>
    </w:p>
    <w:p>
      <w:r>
        <w:t xml:space="preserve">Für die Anwendung des Artikels 15 Absatz 1 des Abkommens ist darauf abzustellen, ob die betreffenden Zahlungen als Entgelt für die im Arbeitsausübungsstaat erbrachten Arbeitsleistungen anzusehen sind. Hierbei ist es unerheblich, ob der Empfänger dieser Einkünfte im Zahlungszeitpunkt noch im Arbeitsausübungsstaat ansässig ist oder nicht und ob er zu diesem Zeitpunkt noch als Arbeitnehmer berufstätig ist oder nicht.</w:t>
      </w:r>
    </w:p>
    <w:p>
      <w:r>
        <w:rPr>
          <w:color w:val="555555"/>
          <w:sz w:val="17"/>
        </w:rPr>
        <w:t xml:space="preserve">Zitiervorschlag: § 3 KonsVerAUTV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https://recht.nulegal.eu/gesetze/KonsVerAUTV/3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