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KonsVerAUTV — Anwendungsbereich</w:t>
      </w:r>
    </w:p>
    <w:p>
      <w:r>
        <w:rPr>
          <w:color w:val="555555"/>
          <w:sz w:val="18"/>
        </w:rPr>
        <w:t xml:space="preserve">Deutsch-Österreichische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einheitliche Anwendung und Auslegung des Abkommens in Bezug auf die Umsetzung entsprechender Konsultationsvereinbarungen im Sinn des § 2 Absatz 2 Satz 2 der Abgabenordnung, die von den zuständigen Behörden im Sinn des Artikels 3 Absatz 1 Buchstabe i des Abkommens getroffen worden sind, richtet sich nach dieser Verordnung.</w:t>
      </w:r>
    </w:p>
    <w:p>
      <w:r>
        <w:rPr>
          <w:color w:val="555555"/>
          <w:sz w:val="17"/>
        </w:rPr>
        <w:t xml:space="preserve">Zitiervorschlag: § 2 KonsVerAUTV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https://recht.nulegal.eu/gesetze/KonsVerAUTV/2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