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KonsHilfG — Finanzierung</w:t>
      </w:r>
    </w:p>
    <w:p>
      <w:r>
        <w:rPr>
          <w:color w:val="555555"/>
          <w:sz w:val="18"/>
        </w:rPr>
        <w:t xml:space="preserve">Konsolidierungshilfengesetz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sich aus der Gewährung der Konsolidierungshilfen ergebende Finanzierungslast wird hälftig von Bund und Ländern getragen. Der Anteil des Bundes an den Zahlungen nach § 1 Absatz 2 beträgt jährlich 400 Millionen Euro. Entfällt nach § 2 Absatz 3 der Anspruch eines oder mehrerer Länder auf Konsolidierungshilfen, verringern sich die Anteile von Bund und Ländern entsprechend.</w:t>
      </w:r>
    </w:p>
    <w:p>
      <w:r>
        <w:rPr>
          <w:color w:val="555555"/>
          <w:sz w:val="17"/>
        </w:rPr>
        <w:t xml:space="preserve">Zitiervorschlag: § 3 KonsHilfG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https://recht.nulegal.eu/gesetze/KonsHilfG/3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