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KonsG — Überführung Verstorbener und Nachlaßfürsorge</w:t>
      </w:r>
    </w:p>
    <w:p>
      <w:r>
        <w:rPr>
          <w:color w:val="555555"/>
          <w:sz w:val="18"/>
        </w:rPr>
        <w:t xml:space="preserve">Konsulargesetz</w:t>
      </w:r>
    </w:p>
    <w:p>
      <w:r>
        <w:rPr>
          <w:color w:val="555555"/>
          <w:sz w:val="18"/>
        </w:rPr>
        <w:t xml:space="preserve">Stand: 10.06.2019 (konsolidierte Textfassung, kein amtliches Inkrafttretensdatum)</w:t>
      </w:r>
    </w:p>
    <w:p>
      <w:r>
        <w:t xml:space="preserve">(1) Sofern andere Möglichkeiten nicht gegeben sind, sollen die Konsularbeamten umgehend die Angehörigen der im Konsularbezirk verstorbenen Deutschen benachrichtigen und bei einer verlangten Überführung der Verstorbenen mitwirken.</w:t>
      </w:r>
    </w:p>
    <w:p>
      <w:r>
        <w:t xml:space="preserve">(2) Die Konsularbeamten sind berufen, sich der in ihrem Konsularbezirk befindlichen Nachlässe von Deutschen anzunehmen, wenn die Erben unbekannt oder abwesend sind oder aus anderen Gründen ein Bedürfnis für ein amtliches Einschreiten besteht. Sie können dabei insbesondere Siegel anlegen, ein Nachlaßverzeichnis aufnehmen und bewegliche Nachlaßgegenstände, soweit die Umstände es erfordern, in Verwahrung nehmen oder veräußern. Sie können ferner Zahlungen von Nachlaßschuldnern entgegennehmen und Mittel aus dem Nachlaß zur Regelung feststehender Nachlaßverbindlichkeiten sowie von Verpflichtungen verwenden, die bei der Fürsorge für den Nachlaß entstanden sind.</w:t>
      </w:r>
    </w:p>
    <w:p>
      <w:r>
        <w:t xml:space="preserve">(3) Können Erben oder sonstige Berechtigte nicht ermittelt werden, so können Nachlaßgegenstände oder Erlös aus deren Veräußerung an das Gericht des letzten gewöhnlichen Aufenthalts des Erblassers im Inland oder - wenn sich ein solcher gewöhnlicher Aufenthalt nicht feststellen läßt - an das Amtsgericht Schöneberg in Berlin als Nachlaßgericht übergeben werden.</w:t>
      </w:r>
    </w:p>
    <w:p>
      <w:r>
        <w:rPr>
          <w:color w:val="555555"/>
          <w:sz w:val="17"/>
        </w:rPr>
        <w:t xml:space="preserve">Zitiervorschlag: § 9 KonsG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