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KonsG — Antrag auf Beurkundung der Geburt oder des Todes eines Deutschen</w:t>
      </w:r>
    </w:p>
    <w:p>
      <w:r>
        <w:rPr>
          <w:color w:val="555555"/>
          <w:sz w:val="18"/>
        </w:rPr>
        <w:t xml:space="preserve">Konsulargesetz</w:t>
      </w:r>
    </w:p>
    <w:p>
      <w:r>
        <w:rPr>
          <w:color w:val="555555"/>
          <w:sz w:val="18"/>
        </w:rPr>
        <w:t xml:space="preserve">Stand: 10.06.2019 (konsolidierte Textfassung, kein amtliches Inkrafttretensdatum)</w:t>
      </w:r>
    </w:p>
    <w:p>
      <w:r>
        <w:t xml:space="preserve">Die Konsularbeamten sind befugt, Anträge auf Beurkundung der Geburt oder des Todes eines Deutschen entgegenzunehmen, wenn sich der Personenstandsfall im Ausland ereignet hat. Der Antrag ist mit den vorgelegten Unterlagen dem nach § 36 Abs. 2 des Personenstandsgesetzes zuständigen Standesamt zu übersenden.</w:t>
      </w:r>
    </w:p>
    <w:p>
      <w:r>
        <w:rPr>
          <w:color w:val="555555"/>
          <w:sz w:val="17"/>
        </w:rPr>
        <w:t xml:space="preserve">Zitiervorschlag: § 8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