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KonsG — Hilfe in Katastrophenfällen</w:t>
      </w:r>
    </w:p>
    <w:p>
      <w:r>
        <w:rPr>
          <w:color w:val="555555"/>
          <w:sz w:val="18"/>
        </w:rPr>
        <w:t xml:space="preserve">Konsulargesetz</w:t>
      </w:r>
    </w:p>
    <w:p>
      <w:r>
        <w:rPr>
          <w:color w:val="555555"/>
          <w:sz w:val="18"/>
        </w:rPr>
        <w:t xml:space="preserve">Stand: 20.04.2021 (konsolidierte Textfassung, kein amtliches Inkrafttretensdatum)</w:t>
      </w:r>
    </w:p>
    <w:p>
      <w:r>
        <w:t xml:space="preserve">(1) Wenn im Konsularbezirk Naturkatastrophen, kriegerische oder revolutionäre Verwicklungen oder vergleichbare Ereignisse, die der Bevölkerung oder Teilen von ihnen Schaden zufügen, eintreten oder einzutreten drohen, sollen die Konsularbeamten die erforderlichen Maßnahmen treffen, um den Geschädigten oder den Bedrohten, soweit sie Deutsche sind, Hilfe und Schutz zu gewähren. Dies gilt auch für Abkömmlinge von Deutschen und für nichtdeutsche Familienangehörige von Deutschen, wenn sie mit diesen in Haushaltsgemeinschaft leben oder längere Zeit gelebt haben.</w:t>
      </w:r>
    </w:p>
    <w:p>
      <w:r>
        <w:t xml:space="preserve">(2) § 5 Abs. 5 gilt entsprechend. Soweit die Entwicklung der Lage im Konsularbezirk, die persönlichen Verhältnisse des Hilfs- oder Schutzbedürftigen oder sonstige besondere Umstände es erfordern, kann von der Geltendmachung der Ansprüche auf Auslagenersatz abgesehen werden.</w:t>
      </w:r>
    </w:p>
    <w:p>
      <w:r>
        <w:t xml:space="preserve">(3) Um in den in Absatz 1 genannten Fällen sofort wirksam helfen zu können, sollen die Konsularbeamten eine Liste der in ihrem Konsularbezirk ansässigen Deutschen und anderer Schutzbefohlener sowie ihrer Familienangehörigen erstellen und auf dem laufenden halten. Dabei ist auch die Verarbeitung der Identifikationsnummer nach dem Identifikationsnummerngesetz durch öffentlichen Stellen nach diesem Gesetz zum Zwecke der Erbringung von Verwaltungsleistungen nach dem Onlinezugangsgesetz zulässig.</w:t>
      </w:r>
    </w:p>
    <w:p>
      <w:r>
        <w:rPr>
          <w:color w:val="555555"/>
          <w:sz w:val="17"/>
        </w:rPr>
        <w:t xml:space="preserve">Zitiervorschlag: § 6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