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KonsG — Hilfeleistung an einzelne</w:t>
      </w:r>
    </w:p>
    <w:p>
      <w:r>
        <w:rPr>
          <w:color w:val="555555"/>
          <w:sz w:val="18"/>
        </w:rPr>
        <w:t xml:space="preserve">Konsulargesetz</w:t>
      </w:r>
    </w:p>
    <w:p>
      <w:r>
        <w:rPr>
          <w:color w:val="555555"/>
          <w:sz w:val="18"/>
        </w:rPr>
        <w:t xml:space="preserve">Stand: 10.06.2019 (konsolidierte Textfassung, kein amtliches Inkrafttretensdatum)</w:t>
      </w:r>
    </w:p>
    <w:p>
      <w:r>
        <w:t xml:space="preserve">(1) Die Konsularbeamten sollen Deutschen, die in ihrem Konsularbezirk hilfsbedürftig sind, die erforderliche Hilfe leisten, wenn die Notlage auf andere Weise nicht behoben werden kann. Dies gilt nicht für Deutsche, die ihren gewöhnlichen Aufenthalt in einem ausländischen Staat haben, wenn sie gleichzeitig die Staatsangehörigkeit dieses Staates besitzen und auch ihr Vater oder ihre Mutter sie besitzt oder besessen hat sowie für ihre Abkömmlinge; diesen Personen können die Konsularbeamten jedoch Hilfe gewähren, soweit es im Einzelfall der Billigkeit entspricht.</w:t>
      </w:r>
    </w:p>
    <w:p>
      <w:r>
        <w:t xml:space="preserve">(2) Soweit es im Einzelfall der Billigkeit entspricht, können die Konsularbeamten Hilfe auch nichtdeutschen Familienangehörigen von Deutschen gewähren, wenn sie mit diesen in Haushaltsgemeinschaft leben oder längere Zeit gelebt haben.</w:t>
      </w:r>
    </w:p>
    <w:p>
      <w:r>
        <w:t xml:space="preserve">(3) Art, Form und Maß der Hilfe richten sich nach den besonderen Verhältnissen im Empfangsstaat unter Berücksichtigung der notwendigen Lebensbedürfnisse eines dort lebenden Deutschen. Die Hilfe kann auch in der Gewährung von Rechtsschutz bestehen.</w:t>
      </w:r>
    </w:p>
    <w:p>
      <w:r>
        <w:t xml:space="preserve">(4) Wenn es sich empfiehlt, können die Konsularbeamten die Hilfe auch dadurch leisten, daß sie dem Hilfesuchenden die Reise an den Ort des gewöhnlichen Aufenthalts oder an einen anderen Ort ermöglichen.</w:t>
      </w:r>
    </w:p>
    <w:p>
      <w:r>
        <w:t xml:space="preserve">(5) Der Empfänger ist zum Ersatz der Auslagen verpflichtet. Die Ersatzpflicht trifft neben ihm auch seine Verwandten und seinen Ehegatten im Rahmen ihrer Unterhaltspflicht. Die Verpflichtung zum Ersatz geht auf die Erben über. Die Haftung der Erben beschränkt sich auf den Nachlaß.</w:t>
      </w:r>
    </w:p>
    <w:p>
      <w:r>
        <w:t xml:space="preserve">(6) Dauert die Notlage eines Hilfeempfängers, der seinen gewöhnlichen Aufenthalt im Ausland hat oder der im Ausland in Untersuchungshaft ist oder eine Freiheitsstrafe verbüßt, länger als zwei Monate, so ist vom Eintritt der Hilfsbedürftigkeit an Hilfe nach dem Zwölften Buch Sozialgesetzbuch oder in entsprechender Anwendung dieses Gesetzes zu gewähren. Absatz 4 bleibt unberührt.</w:t>
      </w:r>
    </w:p>
    <w:p>
      <w:r>
        <w:t xml:space="preserve">(7) Die Hilfeleistung kann abgelehnt werden, wenn festgestellt wird, daß der Hilfesuchende frühere Hilfen mißbraucht hat, es sei denn, daß er im Falle der Ablehnung einen ernsten Nachteil an Leib, Leben oder Gesundheit erleiden würde.</w:t>
      </w:r>
    </w:p>
    <w:p>
      <w:r>
        <w:rPr>
          <w:color w:val="555555"/>
          <w:sz w:val="17"/>
        </w:rPr>
        <w:t xml:space="preserve">Zitiervorschlag: § 5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