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KonsG — Wahrnehmung konsularischer Aufgaben</w:t>
      </w:r>
    </w:p>
    <w:p>
      <w:r>
        <w:rPr>
          <w:color w:val="555555"/>
          <w:sz w:val="18"/>
        </w:rPr>
        <w:t xml:space="preserve">Konsulargesetz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Wahrnehmung konsularischer Aufgaben gelten die allgemeinen Rechtsvorschriften, soweit dieses Gesetz keine besonderen Regelungen enthält.</w:t>
      </w:r>
    </w:p>
    <w:p>
      <w:r>
        <w:t xml:space="preserve">(2) Bei der Wahrnehmung ihrer Aufgaben haben die Konsularbeamten das Ansehen und die Interessen der Bundesrepublik Deutschland nach besten Kräften zu schützen und zu fördern.</w:t>
      </w:r>
    </w:p>
    <w:p>
      <w:r>
        <w:t xml:space="preserve">(3) Berufskonsularbeamte können sich - soweit erforderlich - bei der Wahrnehmung ihrer Aufgaben in Rechtsangelegenheiten des Rates und der Hilfe eines im Empfangsstaat zugelassenen Anwaltes ihres Vertrauens bedienen.</w:t>
      </w:r>
    </w:p>
    <w:p>
      <w:r>
        <w:rPr>
          <w:color w:val="555555"/>
          <w:sz w:val="17"/>
        </w:rPr>
        <w:t xml:space="preserve">Zitiervorschlag: § 3 KonsG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