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25c KonsG — Wertgebühren</w:t>
      </w:r>
    </w:p>
    <w:p>
      <w:r>
        <w:rPr>
          <w:color w:val="555555"/>
          <w:sz w:val="18"/>
        </w:rPr>
        <w:t xml:space="preserve">Konsulargesetz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Durch Besondere Gebührenverordnung des Auswärtigen Amts nach § 22 Absatz 4 des Bundesgebührengesetzes kann eine Gebühr auch nach dem Wert des Gegenstandes (Wertgebühr) bestimmt werden.</w:t>
      </w:r>
    </w:p>
    <w:p>
      <w:r>
        <w:t xml:space="preserve">(2) Der Antragsteller ist verpflichtet, die zur Feststellung des Wertes erforderlichen Angaben zu machen.</w:t>
      </w:r>
    </w:p>
    <w:p>
      <w:r>
        <w:rPr>
          <w:color w:val="555555"/>
          <w:sz w:val="17"/>
        </w:rPr>
        <w:t xml:space="preserve">Zitiervorschlag: § 25c KonsG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https://recht.nulegal.eu/gesetze/KonsG/25c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