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KonsG — Gebührenbemessung</w:t>
      </w:r>
    </w:p>
    <w:p>
      <w:r>
        <w:rPr>
          <w:color w:val="555555"/>
          <w:sz w:val="18"/>
        </w:rPr>
        <w:t xml:space="preserve">Konsulargesetz</w:t>
      </w:r>
    </w:p>
    <w:p>
      <w:r>
        <w:rPr>
          <w:color w:val="555555"/>
          <w:sz w:val="18"/>
        </w:rPr>
        <w:t xml:space="preserve">Stand: 01.10.2021 (konsolidierte Textfassung, kein amtliches Inkrafttretensdatum)</w:t>
      </w:r>
    </w:p>
    <w:p>
      <w:r>
        <w:t xml:space="preserve">(1) Für die Gebührenerhebung nach § 25, insbesondere für die notariellen Tätigkeiten der Vertretungen des Bundes im Ausland sowie der Honorarkonsularbeamten, können auch der Wert und die Bedeutung der individuell zurechenbaren öffentlichen Leistung für den Gebührenschuldner bei der Gebührenbemessung berücksichtigt werden. Für die Bemessung der Gebühr gelten die Vorschriften der Kapitel 1 und 3, Anlage 1 Teil 2 und 3, Anlage 2 des Gerichts- und Notarkostengesetzes entsprechend, soweit nach Absatz 2 nichts anderes bestimmt ist.</w:t>
      </w:r>
    </w:p>
    <w:p>
      <w:r>
        <w:t xml:space="preserve">(2) Durch Besondere Gebührenverordnung des Auswärtigen Amts nach § 22 Absatz 4 des Bundesgebührengesetzes können auch andere Bezugsgrößen oder Maßstäbe zur Bestimmung des Wertes oder der Bedeutung der individuell zurechenbaren öffentlichen Leistung nach Absatz 1 Satz 1 bestimmt werden. Danach kann insbesondere angeordnet werden, dass die Gebühr nach der Seiten- und Zeilenzahl sowie nach Sprachgruppen bestimmt wird.</w:t>
      </w:r>
    </w:p>
    <w:p>
      <w:r>
        <w:rPr>
          <w:color w:val="555555"/>
          <w:sz w:val="17"/>
        </w:rPr>
        <w:t xml:space="preserve">Zitiervorschlag: § 25b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