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KonsG — Übertragene konsularische Aufgaben</w:t>
      </w:r>
    </w:p>
    <w:p>
      <w:r>
        <w:rPr>
          <w:color w:val="555555"/>
          <w:sz w:val="18"/>
        </w:rPr>
        <w:t xml:space="preserve">Konsulargesetz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Konsularbeamten sind berufen, die Aufgaben und Befugnisse wahrzunehmen, die ihnen durch dieses Gesetz oder andere Rechts- und Verwaltungsvorschriften übertragen werden, insbesondere auf folgenden Gebieten,</w:t>
      </w:r>
    </w:p>
    <w:p>
      <w:r>
        <w:rPr>
          <w:rFonts w:ascii="Courier New" w:hAnsi="Courier New"/>
          <w:sz w:val="17"/>
        </w:rPr>
        <w:t xml:space="preserve">-    Staatsangehörigkeitsangelegenheiten,</w:t>
      </w:r>
    </w:p>
    <w:p>
      <w:r>
        <w:rPr>
          <w:rFonts w:ascii="Courier New" w:hAnsi="Courier New"/>
          <w:sz w:val="17"/>
        </w:rPr>
        <w:t xml:space="preserve">-    Paß- und Sichtvermerksangelegenheiten,</w:t>
      </w:r>
    </w:p>
    <w:p>
      <w:r>
        <w:rPr>
          <w:rFonts w:ascii="Courier New" w:hAnsi="Courier New"/>
          <w:sz w:val="17"/>
        </w:rPr>
        <w:t xml:space="preserve">-    Personenstandsangelegenheiten,</w:t>
      </w:r>
    </w:p>
    <w:p>
      <w:r>
        <w:rPr>
          <w:rFonts w:ascii="Courier New" w:hAnsi="Courier New"/>
          <w:sz w:val="17"/>
        </w:rPr>
        <w:t xml:space="preserve">-    Mitwirkung bei der Erledigung von Familiensachen, Angelegenheiten der freiwilligen Gerichtsbarkeit und bei Nachlaßangelegenheiten,</w:t>
      </w:r>
    </w:p>
    <w:p>
      <w:r>
        <w:rPr>
          <w:rFonts w:ascii="Courier New" w:hAnsi="Courier New"/>
          <w:sz w:val="17"/>
        </w:rPr>
        <w:t xml:space="preserve">-    Beurkundungen, Legalisation ausländischer und Echtheitsbestätigung inländischer öffentlicher Urkunden,</w:t>
      </w:r>
    </w:p>
    <w:p>
      <w:r>
        <w:rPr>
          <w:rFonts w:ascii="Courier New" w:hAnsi="Courier New"/>
          <w:sz w:val="17"/>
        </w:rPr>
        <w:t xml:space="preserve">-    Schiffahrtssachen und Seemannsangelegenheiten,</w:t>
      </w:r>
    </w:p>
    <w:p>
      <w:r>
        <w:rPr>
          <w:rFonts w:ascii="Courier New" w:hAnsi="Courier New"/>
          <w:sz w:val="17"/>
        </w:rPr>
        <w:t xml:space="preserve">-    Erledigung oder Übermittlung von Rechtshilfeersuchen,</w:t>
      </w:r>
    </w:p>
    <w:p>
      <w:r>
        <w:rPr>
          <w:rFonts w:ascii="Courier New" w:hAnsi="Courier New"/>
          <w:sz w:val="17"/>
        </w:rPr>
        <w:t xml:space="preserve">-    Zustellungen,</w:t>
      </w:r>
    </w:p>
    <w:p>
      <w:r>
        <w:rPr>
          <w:rFonts w:ascii="Courier New" w:hAnsi="Courier New"/>
          <w:sz w:val="17"/>
        </w:rPr>
        <w:t xml:space="preserve">-    Überwachung der Einhaltung von Verträgen.</w:t>
      </w:r>
    </w:p>
    <w:p>
      <w:r>
        <w:rPr>
          <w:color w:val="555555"/>
          <w:sz w:val="17"/>
        </w:rPr>
        <w:t xml:space="preserve">Zitiervorschlag: § 2 KonsG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