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KonsG — Beurkundungen im allgemeinen</w:t>
      </w:r>
    </w:p>
    <w:p>
      <w:r>
        <w:rPr>
          <w:color w:val="555555"/>
          <w:sz w:val="18"/>
        </w:rPr>
        <w:t xml:space="preserve">Konsulargesetz</w:t>
      </w:r>
    </w:p>
    <w:p>
      <w:r>
        <w:rPr>
          <w:color w:val="555555"/>
          <w:sz w:val="18"/>
        </w:rPr>
        <w:t xml:space="preserve">Stand: 29.12.2025 (konsolidierte Textfassung, kein amtliches Inkrafttretensdatum)</w:t>
      </w:r>
    </w:p>
    <w:p>
      <w:r>
        <w:t xml:space="preserve">(1) Die Konsularbeamten sind befugt, über Tatsachen und Vorgänge, die sie in Ausübung ihres Amts wahrgenommen haben, Niederschriften oder Vermerke aufzunehmen, insbesondere</w:t>
      </w:r>
    </w:p>
    <w:p>
      <w:pPr>
        <w:ind w:left="420"/>
      </w:pPr>
      <w:r>
        <w:t xml:space="preserve">1. vor ihnen abgegebene Willenserklärungen und Versicherungen an Eides statt zu beurkunden,</w:t>
      </w:r>
    </w:p>
    <w:p>
      <w:pPr>
        <w:ind w:left="420"/>
      </w:pPr>
      <w:r>
        <w:t xml:space="preserve">2. Unterschriften, Handzeichen sowie Abschriften zu beglaubigen oder sonstige einfache Zeugnisse (z.B. Lebensbescheinigungen) auszustellen.</w:t>
      </w:r>
    </w:p>
    <w:p>
      <w:r>
        <w:t xml:space="preserve">(2) Die von einem Konsularbeamten aufgenommenen Urkunden stehen den von einem inländischen Notar aufgenommenen gleich.</w:t>
      </w:r>
    </w:p>
    <w:p>
      <w:r>
        <w:t xml:space="preserve">(3) Für das Verfahren bei der Beurkundung gelten die Vorschriften des Beurkundungsgesetzes mit folgenden Abweichungen:</w:t>
      </w:r>
    </w:p>
    <w:p>
      <w:pPr>
        <w:ind w:left="420"/>
      </w:pPr>
      <w:r>
        <w:t xml:space="preserve">1. Urkunden können auf Verlangen auch in einer anderen als der deutschen Sprache errichtet werden.</w:t>
      </w:r>
    </w:p>
    <w:p>
      <w:pPr>
        <w:ind w:left="420"/>
      </w:pPr>
      <w:r>
        <w:t xml:space="preserve">2. Dolmetscher brauchen nicht vereidigt zu werden.</w:t>
      </w:r>
    </w:p>
    <w:p>
      <w:pPr>
        <w:ind w:left="420"/>
      </w:pPr>
      <w:r>
        <w:t xml:space="preserve">3. Die Abschrift einer nicht beglaubigten Abschrift soll nicht beglaubigt werden.</w:t>
      </w:r>
    </w:p>
    <w:p>
      <w:pPr>
        <w:ind w:left="420"/>
      </w:pPr>
      <w:r>
        <w:t xml:space="preserve">4. Die Urschrift einer Niederschrift soll den Beteiligten ausgehändigt werden, wenn nicht einer von ihnen amtliche Verwahrung verlangt. In diesem Fall soll die Urschrift dem Amtsgericht Schöneberg in Berlin zur amtlichen Verwahrung übersandt werden. Hat sich einer der Beteiligten der Zwangsvollstreckung unterworfen, so soll die Urschrift der Niederschrift dem Gläubiger ausgehändigt werden, wenn die Beteiligten keine anderweitige Bestimmung getroffen haben und auch keiner von ihnen amtliche Verwahrung verlangt hat.</w:t>
      </w:r>
    </w:p>
    <w:p>
      <w:pPr>
        <w:ind w:left="420"/>
      </w:pPr>
      <w:r>
        <w:t xml:space="preserve">5. Solange die Urschrift nicht ausgehändigt oder an das Amtsgericht abgesandt ist, sind die Konsularbeamten befugt, Ausfertigungen zu erteilen. Wem und an welchem Tag eine Ausfertigung erteilt worden ist, soll auf der Urschrift vermerkt werden. Vollstreckbare Ausfertigungen können nur von dem Amtsgericht erteilt werden, das die Urschrift verwahrt.</w:t>
      </w:r>
    </w:p>
    <w:p>
      <w:pPr>
        <w:ind w:left="420"/>
      </w:pPr>
      <w:r>
        <w:t xml:space="preserve">6. Mit elektronischen Niederschriften (§ 8 Absatz 2 und § 36 Absatz 2 des Beurkundungsgesetzes) und elektronischen Vermerken im Sinne des § 39a des Beurkundungsgesetzes muss eine Bestätigung der Konsularbeamteneigenschaft durch die zuständige Stelle verbunden werden.</w:t>
      </w:r>
    </w:p>
    <w:p>
      <w:pPr>
        <w:ind w:left="420"/>
      </w:pPr>
      <w:r>
        <w:t xml:space="preserve">7. Ein nach § 8 Absatz 2 oder § 36 Absatz 2 des Beurkundungsgesetzes erstelltes elektronisches Dokument soll den Beteiligten überlassen werden. Verlangt einer der Beteiligten eine amtliche Verwahrung, so soll das elektronische Dokument dem Amtsgericht Schöneberg in Berlin zur amtlichen Verwahrung übermittelt werden. Das vom Amtsgericht Schöneberg in Berlin verwahrte elektronische Dokument gilt als Urschrift. Ergibt sich aus einer Rechtsvorschrift die Pflicht, auf der amtlich verwahrten Urschrift etwas zu vermerken, so ist der Vermerk in einem gesonderten elektronischen Dokument niederzulegen, das zusammen mit dem amtlich verwahrten elektronischen Dokument zu verwahren ist.</w:t>
      </w:r>
    </w:p>
    <w:p>
      <w:r>
        <w:rPr>
          <w:color w:val="555555"/>
          <w:sz w:val="17"/>
        </w:rPr>
        <w:t xml:space="preserve">Zitiervorschlag: § 10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