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KonnexAG (Nordrhein-Westfalen) — Verfahren</w:t>
      </w:r>
    </w:p>
    <w:p>
      <w:r>
        <w:rPr>
          <w:color w:val="555555"/>
          <w:sz w:val="18"/>
        </w:rPr>
        <w:t xml:space="preserve">Konnexitätsausführungsgesetz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Landtag kann zur Ermittlung des Belastungsausgleichs Sachverständige hinzuziehen, eine öffentliche Anhörung durchführen oder einen Bericht der Landesregierung entsprechend den §§ 3 und 4 anfordern.</w:t>
      </w:r>
    </w:p>
    <w:p>
      <w:r>
        <w:rPr>
          <w:color w:val="555555"/>
          <w:sz w:val="17"/>
        </w:rPr>
        <w:t xml:space="preserve">Zitiervorschlag: § 9 KonnexAG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https://recht.nulegal.eu/gesetze/KonnexAG/9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