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KonnexAG (Nordrhein-Westfalen) — Erstellung der Gesetzentwürfe sowie der Kostenfolgeabschätzung</w:t>
      </w:r>
    </w:p>
    <w:p>
      <w:r>
        <w:rPr>
          <w:color w:val="555555"/>
          <w:sz w:val="18"/>
        </w:rPr>
        <w:t xml:space="preserve">Konnexitätsausführungsgesetz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 einem Gesetzentwurf, der die Aufgabenübertragung gem. § 1 Abs.1 regelt, ist von der zuständigen Behörde frühzeitig eine Prognose der finanziellen Auswirkungen der Aufgabenübertragung (Kostenfolgeabschätzung) zu erstellen.</w:t>
      </w:r>
    </w:p>
    <w:p>
      <w:r>
        <w:t xml:space="preserve">Die Regelung nach § 1 Abs.1 Satz 2 ist in den Gesetzentwurf nach Satz 1 oder in einen Entwurf eines Belastungsausgleichsgesetzes zu diesem Gesetzentwurf aufzunehmen. Die Kostenfolgeabschätzung ist beizufügen.</w:t>
      </w:r>
    </w:p>
    <w:p>
      <w:r>
        <w:t xml:space="preserve">Für den Fall, dass im Aufgabenübertragungsgesetz keine Belastungsausgleichsregelung enthalten ist, ist in § 1 dieses Gesetzes der Zusatz aufzunehmen, dass der Belastungsausgleich für die entstehenden notwendigen, durchschnittlichen Aufwendungen im Belastungsausgleichsgesetz zu diesem Gesetz geregelt wird.</w:t>
      </w:r>
    </w:p>
    <w:p>
      <w:r>
        <w:rPr>
          <w:color w:val="555555"/>
          <w:sz w:val="17"/>
        </w:rPr>
        <w:t xml:space="preserve">Zitiervorschlag: § 6 KonnexAG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https://recht.nulegal.eu/gesetze/KonnexAG/6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