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KonnexAG (Nordrhein-Westfalen) — Zuständige Behörde</w:t>
      </w:r>
    </w:p>
    <w:p>
      <w:r>
        <w:rPr>
          <w:color w:val="555555"/>
          <w:sz w:val="18"/>
        </w:rPr>
        <w:t xml:space="preserve">Konnexitätsausführungsgesetz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im Sinne dieses Gesetzes ist die oberste Landesbehörde, deren Geschäftsbereich betroffen ist.</w:t>
      </w:r>
    </w:p>
    <w:p>
      <w:r>
        <w:t xml:space="preserve">Zweiter Teil</w:t>
      </w:r>
    </w:p>
    <w:p>
      <w:r>
        <w:t xml:space="preserve">Gesetz- und Verordnungsentwürfe der Landesregierung</w:t>
      </w:r>
    </w:p>
    <w:p>
      <w:r>
        <w:rPr>
          <w:color w:val="555555"/>
          <w:sz w:val="17"/>
        </w:rPr>
        <w:t xml:space="preserve">Zitiervorschlag: § 5 KonnexAG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https://recht.nulegal.eu/gesetze/KonnexAG/5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