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KonnexAG (Nordrhein-Westfalen) — Kostenfolgeabschätzung</w:t>
      </w:r>
    </w:p>
    <w:p>
      <w:r>
        <w:rPr>
          <w:color w:val="555555"/>
          <w:sz w:val="18"/>
        </w:rPr>
        <w:t xml:space="preserve">Konnexitätsausführungsgesetz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Kostenfolgeabschätzung sind die bei wirtschaftlicher Verwaltungstätigkeit entstehenden notwendigen, durchschnittlichen Kosten zugrunde zu legen.</w:t>
      </w:r>
    </w:p>
    <w:p>
      <w:r>
        <w:t xml:space="preserve">(2) Für die Prognose gemäß Absatz 1 sind die Kosten der übertragenen Aufgabe, die Einnahmen und die anderweitigen Entlastungen zu schätzen. Diese Ermittlungen sind zu dokumentieren.</w:t>
      </w:r>
    </w:p>
    <w:p>
      <w:r>
        <w:t xml:space="preserve">(3) Zur Ermittlung der geschätzten Kosten der übertragenen Aufgabe sind die folgenden Schritte durchzuführen:</w:t>
      </w:r>
    </w:p>
    <w:p>
      <w:r>
        <w:t xml:space="preserve">1. Sämtliche Umstände der Durchführung der Aufgabe (z.B. Zahl der Leistungsempfänger, Zahl der Leistungsprozesse, benötigte Verwaltungsressourcen) sind zu beschreiben. Ist beabsichtigt, durch Ausführungsvorschriften besondere Anforderungen an die Aufgabenerfüllung (z.B. Häufigkeit von Kontrollen, Anzahl zu untersuchender Stichproben) zu stellen, ist dies bei der Kostenermittlung zu berücksichtigen; sind derartige Anforderungen nicht vorgesehen, ist dies zu dokumentieren.</w:t>
      </w:r>
    </w:p>
    <w:p>
      <w:r>
        <w:t xml:space="preserve">2. Die künftig auf der Grundlage des Gesetzentwurfs zur Aufgabenübertragung zu bewirkenden Leistungen an Dritte (Sozialleistungen, Beihilfen, Subventionen usw.) sind nach Höhe und Fallzahlen pauschal zu schätzen.</w:t>
      </w:r>
    </w:p>
    <w:p>
      <w:r>
        <w:t xml:space="preserve">3. Der Personalaufwand ist zu errechnen, indem die durchschnittlichen Kosten der mit der Wahrnehmung der Aufgabe betrauten Mitarbeiter mit dem geschätzten durchschnittlichen Zeitaufwand multipliziert werden; bei der Berechnung kann auf Erfahrungswerte des Landes oder anderer Stellen zurückgegriffen werden.</w:t>
      </w:r>
    </w:p>
    <w:p>
      <w:r>
        <w:t xml:space="preserve">4. Der Sachaufwand ist für einen Büroarbeitsplatz mit einem pauschalen Zuschlag in Höhe von 10 vom Hundert auf den Personalaufwand oder mit einer Sachkostenpauschale zu veranschlagen; der sonstige aufgabenspezifische Sachaufwand ist zu schätzen. Die Verwaltungsgemeinkosten sind nur zu berücksichtigen, wenn sie sich durch die Aufgabenübertragung voraussichtlich erhöhen; dann ist ein Zuschlag von bis zu 10 vom Hundert auf den Personalaufwand anzusetzen.</w:t>
      </w:r>
    </w:p>
    <w:p>
      <w:r>
        <w:t xml:space="preserve">5. Der Aufwand für Investitionen, soweit diese ersichtlich für die Erfüllung der Aufgabe zu tätigen sind, ist bei der Ermittlung der Kosten gleichfalls zu berücksichtigen.</w:t>
      </w:r>
    </w:p>
    <w:p>
      <w:r>
        <w:t xml:space="preserve">(4) Sind die Kommunen berechtigt, ihren Aufwand durch - nach den üblichen Maßstäben berechnete - Gebühren, Beiträge oder Entgelte zu decken, sind diese zu schätzen und in Abzug zu bringen.</w:t>
      </w:r>
    </w:p>
    <w:p>
      <w:r>
        <w:t xml:space="preserve">(5) Erfolgen mit der gesetzlichen Regelung gleichzeitig Entlastungen bei der Wahrnehmung anderer Aufgaben im selben Geschäftsbereich, so ist die Mehrbelastung um diese Entlastung zu mindern. Absatz 3 gilt entsprechend.</w:t>
      </w:r>
    </w:p>
    <w:p>
      <w:r>
        <w:t xml:space="preserve">(6) Die Mehrbelastung ergibt sich durch die Verrechnung der geschätzten Kosten der Aufgabe (Absatz 3) mit den geschätzten Einnahmen (Absatz 4) und den geschätzten anderweitigen Entlastungen (Absatz 5).</w:t>
      </w:r>
    </w:p>
    <w:p>
      <w:r>
        <w:rPr>
          <w:color w:val="555555"/>
          <w:sz w:val="17"/>
        </w:rPr>
        <w:t xml:space="preserve">Zitiervorschlag: § 3 KonnexAG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https://recht.nulegal.eu/gesetze/KonnexAG/3</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