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KonnexAG (Nordrhein-Westfalen) — Geltungsbereich des strikten Konnexitätsprinzips</w:t>
      </w:r>
    </w:p>
    <w:p>
      <w:r>
        <w:rPr>
          <w:color w:val="555555"/>
          <w:sz w:val="18"/>
        </w:rPr>
        <w:t xml:space="preserve">Konnexitätsausführungsgesetz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Aufgabenübertragung betrifft Pflichtaufgaben und pflichtige Selbstverwaltungsaufgaben. Wenn aufgrund europa- oder bundesrechtlicher Regelungen eine Aufgabe unmittelbar den Gemeinden oder Gemeindeverbänden übertragen wird, findet das Konnexitätsprinzip nur insoweit Anwendung, als dem Land zur Umsetzung ein eigener Gestaltungsspielraum bleibt und dieser genutzt wird.</w:t>
      </w:r>
    </w:p>
    <w:p>
      <w:r>
        <w:t xml:space="preserve">(2) Auf den vorhandenen Aufgabenbestand wird § 1 Abs.1 nicht rückwirkend angewandt.</w:t>
      </w:r>
    </w:p>
    <w:p>
      <w:r>
        <w:t xml:space="preserve">(3) § 1 Abs. 1 findet keine Anwendung, wenn durch Gesetz Anforderungen, die für jedermann gelten, geregelt werden.</w:t>
      </w:r>
    </w:p>
    <w:p>
      <w:r>
        <w:t xml:space="preserve">(4) Eine Veränderung einer bestehenden Aufgabe im Sinne von § 1 Abs.1 liegt dann vor, wenn den Vollzug prägende besondere Anforderungen an die Aufgabenerfüllung geändert werden. Mengenmäßige Änderungen, die die Aufgabenwahrnehmung nicht wesentlich berühren, werden nicht erfasst.</w:t>
      </w:r>
    </w:p>
    <w:p>
      <w:r>
        <w:t xml:space="preserve">(5) Ein Belastungsausgleich erfolgt erst, wenn bei Betrachtung der von der jeweiligen Aufgabenübertragung betroffenen Gemeinden und Gemeindeverbände die Schwelle einer wesentlichen Belastung überschritten wird. Entsprechendes gilt, wenn mehrere Gesetzesvorhaben einer zuständigen Behörde zusammen innerhalb eines Zeitraums von fünf Jahren zu einer wesentlichen Belastung führen.</w:t>
      </w:r>
    </w:p>
    <w:p>
      <w:r>
        <w:rPr>
          <w:color w:val="555555"/>
          <w:sz w:val="17"/>
        </w:rPr>
        <w:t xml:space="preserve">Zitiervorschlag: § 2 KonnexAG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https://recht.nulegal.eu/gesetze/KonnexAG/2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