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KonnexAG (Nordrhein-Westfalen) — Anforderung eines Berichts der Landesregierung</w:t>
      </w:r>
    </w:p>
    <w:p>
      <w:r>
        <w:rPr>
          <w:color w:val="555555"/>
          <w:sz w:val="18"/>
        </w:rPr>
        <w:t xml:space="preserve">Konnexitätsausführungsgesetz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Fordert der Landtag einen Bericht der Landesregierung zur Erstellung einer Kostenfolgeabschätzung an, kann er sie zusätzlich auffordern, ein Beteiligungsverfahren entsprechend § 7 Abs. 1 und 2 mit den kommunalen Spitzenverbänden durchzuführen.</w:t>
      </w:r>
    </w:p>
    <w:p>
      <w:r>
        <w:t xml:space="preserve">Zusatz</w:t>
      </w:r>
    </w:p>
    <w:p>
      <w:r>
        <w:t xml:space="preserve">(Artikel III des Gesetzes vom 22.6.2004 (GV. NRW. S. 360))</w:t>
      </w:r>
    </w:p>
    <w:p>
      <w:r>
        <w:t xml:space="preserve">Dieses Gesetz tritt mit Wirkung vom 1. Juli 2004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Stellvertreter</w:t>
      </w:r>
    </w:p>
    <w:p>
      <w:r>
        <w:t xml:space="preserve">des Ministerpräsidenten</w:t>
      </w:r>
    </w:p>
    <w:p>
      <w:r>
        <w:t xml:space="preserve">Der Innenminister</w:t>
      </w:r>
    </w:p>
    <w:p>
      <w:r>
        <w:t xml:space="preserve">zugleich für</w:t>
      </w:r>
    </w:p>
    <w:p>
      <w:r>
        <w:t xml:space="preserve">den Finanzminister</w:t>
      </w:r>
    </w:p>
    <w:p>
      <w:r>
        <w:t xml:space="preserve">Der Justizminister</w:t>
      </w:r>
    </w:p>
    <w:p>
      <w:r>
        <w:rPr>
          <w:color w:val="555555"/>
          <w:sz w:val="17"/>
        </w:rPr>
        <w:t xml:space="preserve">Zitiervorschlag: § 10 KonnexAG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https://recht.nulegal.eu/gesetze/KonnexAG/10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KonnexAG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