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KonnexAG (Nordrhein-Westfalen) — Anwendung des Konnexitätsprinzips</w:t>
      </w:r>
    </w:p>
    <w:p>
      <w:r>
        <w:rPr>
          <w:color w:val="555555"/>
          <w:sz w:val="18"/>
        </w:rPr>
        <w:t xml:space="preserve">Konnexitätsausführungsgesetz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Führt die Übertragung neuer oder die Veränderung bestehender und übertragbarer Aufgaben durch Gesetz oder Rechtsverordnung zu einer wesentlichen Belastung der davon betroffenen Gemeinden und Gemeindeverbände, ist ein entsprechender finanzieller Ausgleich (Belastungsausgleich) einschließlich eines Verteilschlüssels zu schaffen. Hierzu ist gleichzeitig aufgrund einer Kostenfolgeabschätzung der Ersatz der entstehenden notwendigen, durchschnittlichen Aufwendungen durch Gesetz oder Rechtsverordnung in pauschalierter Form zu regeln (Belastungsausgleichsgesetz oder -rechtsverordnung).</w:t>
      </w:r>
    </w:p>
    <w:p>
      <w:r>
        <w:t xml:space="preserve">(2) Mit den kommunalen Spitzenverbänden ist ein Beteiligungsverfahren durchzuführen, um möglichst zu einer einvernehmlichen Beurteilung der geplanten Aufgabenübertragung oder -veränderung sowie der finanziellen Folgen dieser Übertragung oder Veränderung zu gelangen.</w:t>
      </w:r>
    </w:p>
    <w:p>
      <w:r>
        <w:t xml:space="preserve">(3) Dieses Gesetz findet auf Gesetz- und Verordnungsentwürfe der Landesregierung und auf Gesetz- und Verordnungsentwürfe aus der Mitte des Landtags Anwendung.</w:t>
      </w:r>
    </w:p>
    <w:p>
      <w:r>
        <w:t xml:space="preserve">(4) Regelungen dieses Gesetzes, die die Aufgabenübertragung betreffen, gelten für die Veränderung bestehender Aufgaben entsprechend.</w:t>
      </w:r>
    </w:p>
    <w:p>
      <w:r>
        <w:t xml:space="preserve">(5) Alle Regelungen dieses Gesetzes für das Gesetzgebungsverfahren gelten für den Erlass von Rechtsverordnungen entsprechend.</w:t>
      </w:r>
    </w:p>
    <w:p>
      <w:r>
        <w:rPr>
          <w:color w:val="555555"/>
          <w:sz w:val="17"/>
        </w:rPr>
        <w:t xml:space="preserve">Zitiervorschlag: § 1 KonnexAG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https://recht.nulegal.eu/gesetze/KonnexAG/1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