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KonjV 3 — Berlin-Klausel</w:t>
      </w:r>
    </w:p>
    <w:p>
      <w:r>
        <w:rPr>
          <w:color w:val="555555"/>
          <w:sz w:val="18"/>
        </w:rPr>
        <w:t xml:space="preserve">Dritte Verordnung über steuerliche Konjunkturmaßnahmen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Artikel 10 des Steueränderungsgesetzes 1966 vom 23. Dezember 1966 (Bundesgesetzbl. I S. 702) auch im Land Berlin.</w:t>
      </w:r>
    </w:p>
    <w:p>
      <w:r>
        <w:rPr>
          <w:color w:val="555555"/>
          <w:sz w:val="17"/>
        </w:rPr>
        <w:t xml:space="preserve">Zitiervorschlag: § 2 KonjV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https://recht.nulegal.eu/gesetze/KonjV%203/2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