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KonfV 2003 — Straftaten und Ordnungswidrigkeiten</w:t>
      </w:r>
    </w:p>
    <w:p>
      <w:r>
        <w:rPr>
          <w:color w:val="555555"/>
          <w:sz w:val="18"/>
        </w:rPr>
        <w:t xml:space="preserve">Konfitürenverordnung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(1) Nach § 59 Absatz 1 Nummer 21 Buchstabe a des Lebensmittel- und Futtermittelgesetzbuches wird bestraft, wer entgegen § 4 Lebensmittel in den Verkehr bringt.</w:t>
      </w:r>
    </w:p>
    <w:p>
      <w:r>
        <w:t xml:space="preserve">(2) Ordnungswidrig im Sinne des § 60 Absatz 2 Nummer 26 Buchstabe a des Lebensmittel- und Futtermittelgesetzbuches handelt, wer vorsätzlich oder fahrlässig entgegen § 3 Absatz 3 Satz 1 ein Erzeugnis in den Verkehr bringt.</w:t>
      </w:r>
    </w:p>
    <w:p>
      <w:r>
        <w:rPr>
          <w:color w:val="555555"/>
          <w:sz w:val="17"/>
        </w:rPr>
        <w:t xml:space="preserve">Zitiervorschlag: § 5 KonfV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https://recht.nulegal.eu/gesetze/KonfV%202003/5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