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KonfV 2003 — Verkehrsverbot</w:t>
      </w:r>
    </w:p>
    <w:p>
      <w:r>
        <w:rPr>
          <w:color w:val="555555"/>
          <w:sz w:val="18"/>
        </w:rPr>
        <w:t xml:space="preserve">Konfitürenverordnung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Lebensmittel, die mit einer in Anlage 1 aufgeführten Bezeichnung versehen sind, ohne den in Anlage 1 genannten Herstellungsanforderungen und dem § 2 Absatz 1 und 3 Satz 1 zu entsprechen, dürfen nicht in den Verkehr gebracht werden.</w:t>
      </w:r>
    </w:p>
    <w:p>
      <w:r>
        <w:rPr>
          <w:color w:val="555555"/>
          <w:sz w:val="17"/>
        </w:rPr>
        <w:t xml:space="preserve">Zitiervorschlag: § 4 KonfV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https://recht.nulegal.eu/gesetze/KonfV%202003/4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