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KonfV 2003 — Zutaten</w:t>
      </w:r>
    </w:p>
    <w:p>
      <w:r>
        <w:rPr>
          <w:color w:val="555555"/>
          <w:sz w:val="18"/>
        </w:rPr>
        <w:t xml:space="preserve">Konfitürenverordnung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Die Ausgangserzeugnisse für Erzeugnisse nach Anlage 1 müssen den Anforderungen der Anlage 2 entsprechen.</w:t>
      </w:r>
    </w:p>
    <w:p>
      <w:r>
        <w:t xml:space="preserve">(2) Für die Herstellung von Erzeugnissen nach Anlage 1 dürfen ferner die in Anlage 3 aufgeführten Lebensmittel nach Maßgabe dieser Anlage verwendet werden.</w:t>
      </w:r>
    </w:p>
    <w:p>
      <w:r>
        <w:t xml:space="preserve">(3) Andere als die in den Absätzen 1 und 2 bezeichneten Zutaten dürfen unbeschadet der Verordnung (EG) Nr. 1333/2008 beim Herstellen von Erzeugnissen nach Anlage 1 nicht verwendet werden.</w:t>
      </w:r>
    </w:p>
    <w:p>
      <w:r>
        <w:rPr>
          <w:color w:val="555555"/>
          <w:sz w:val="17"/>
        </w:rPr>
        <w:t xml:space="preserve">Zitiervorschlag: § 2 KonfV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https://recht.nulegal.eu/gesetze/KonfV%202003/2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