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KonfV 2003 — Anwendungsbereich</w:t>
      </w:r>
    </w:p>
    <w:p>
      <w:r>
        <w:rPr>
          <w:color w:val="555555"/>
          <w:sz w:val="18"/>
        </w:rPr>
        <w:t xml:space="preserve">Konfitürenverordnung</w:t>
      </w:r>
    </w:p>
    <w:p>
      <w:r>
        <w:rPr>
          <w:color w:val="555555"/>
          <w:sz w:val="18"/>
        </w:rPr>
        <w:t xml:space="preserve">Stand: 14.06.2026 (konsolidierte Textfassung, kein amtliches Inkrafttretensdatum)</w:t>
      </w:r>
    </w:p>
    <w:p>
      <w:r>
        <w:t xml:space="preserve">Die in Anlage 1 aufgeführten Erzeugnisse unterliegen dieser Verordnung, soweit sie dazu bestimmt sind, als Lebensmittel in den Verkehr gebracht zu werden. Ausgenommen sind Erzeugnisse, die für die Herstellung von Feinen Backwaren, Konditoreiwaren oder Keksen bestimmt sind.</w:t>
      </w:r>
    </w:p>
    <w:p>
      <w:r>
        <w:rPr>
          <w:color w:val="555555"/>
          <w:sz w:val="17"/>
        </w:rPr>
        <w:t xml:space="preserve">Zitiervorschlag: § 1 KonfV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https://recht.nulegal.eu/gesetze/KonfV%202003/1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