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KonWO (Nordrhein-Westfalen)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August 2021</w:t>
      </w:r>
    </w:p>
    <w:p>
      <w:r>
        <w:t xml:space="preserve">Auf Grund des § 18 Absatz 1 und des § 118 Absatz 2 Satz 2 des Heilberufsgesetzes vom 9. Mai 2000 (GV. NRW. S. 403), von denen § 18 Absatz 1 zuletzt durch Gesetz vom 3. Dezember 2019 (GV. NRW. S. 882) geändert und § 118 Absatz 2 Satz 2 durch Artikel 1 Nummer 21 des Gesetzes vom 30. Juni 2020 (GV. NRW. S. 650) eingefügt worden ist, verordnet das Ministerium für Arbeit, Gesundheit und Soziales nach Anhörung des Errichtungsausschusses der Pflegekammer:</w:t>
      </w:r>
    </w:p>
    <w:p>
      <w:r>
        <w:rPr>
          <w:color w:val="555555"/>
          <w:sz w:val="17"/>
        </w:rPr>
        <w:t xml:space="preserve">Zitiervorschlag: Volltext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