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KonWO (Nordrhein-Westfalen) — Wählbarkeit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Wählbar sind alle wahlberechtigten Kammerangehörigen, die bis zehn Wochen vor dem Wahltag von dem Errichtungsausschuss gemäß § 1 Absatz 1 Satz 1 der Meldeordnung registriert und ins Gesamtwählerverzeichnis eingetragen sind.</w:t>
      </w:r>
    </w:p>
    <w:p>
      <w:r>
        <w:t xml:space="preserve">(2) Nicht wählbar sind Kammerangehörige, die am Wahltag hauptberuflich in der Geschäftsstelle des Errichtungsausschusses oder in der Aufsichtsbehörde beschäftigt sind.</w:t>
      </w:r>
    </w:p>
    <w:p>
      <w:r>
        <w:t xml:space="preserve">Die Wahlvorschläge sind entsprechend zu prüfen.</w:t>
      </w:r>
    </w:p>
    <w:p>
      <w:r>
        <w:t xml:space="preserve">(3) Pflichtmitglieder der Pflegekammer können nur in der Wahlgruppe gewählt werden, in der sie als wahlberechtigt eingetragen sind.</w:t>
      </w:r>
    </w:p>
    <w:p>
      <w:r>
        <w:rPr>
          <w:color w:val="555555"/>
          <w:sz w:val="17"/>
        </w:rPr>
        <w:t xml:space="preserve">Zitiervorschlag: § 7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